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Amirrah Watson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Having a Milkshake with You (as inspired by Frank O’Hara’s “Having a Coke with You”)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even more fun than seeing the World of Coke in a bustling downtown Atlanta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burping up bubbles of carbon for the entirety of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getting caught in a downpour on the banks of the Mississippi and riding home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giggles on that Fourth of July night;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artly, because in your jaded jeans you look nothing like the chic guys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Atlanta mall with their jeans intentionally, immaculately ripped;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partly, because of your love for Brent’s pressed burgers; partly, because of my love for your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interest in my meager life;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partly, because of the steamy diner and the tangy cherry stems;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partly, because of the waiter who grins as he places two jumbo straws in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single Malt-down milkshake.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hen I am with you it is impossible to believe that there can be anything as threatening,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yearning, as definitely inevitable as singularity when in this evadable moment,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chill of a city thawing out of winter’s grasp, with the sweetness of cream exhausting our taste buds, we feel this safe and this satisfied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companionship.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step outside and the rain droplets don't soak us. They don't even lick our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you wonder why rain would fall so tamely, leaving everything unchanged;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but, I have no reason to complain about the delicately balanced ecosystem.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entangle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fingers in yours and I would rather entwine with you than all of the world’s waters and foliage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because what are the muddy paths and brooks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musky logs and calf-high grasses of Laurel Park if I don't see them while standing or sitting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lying beside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low-eyed pot heads who string through the woods alone and the homeless guy dressed in spandex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dancing on the corner asking for a beat that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nobody gives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know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destructive force cheated them out of a hand to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 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 experience will not go wasted on me alone so I am sharing it with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